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6D13" w14:textId="690C3DCF" w:rsidR="00092F5C" w:rsidRDefault="00092F5C" w:rsidP="00092F5C">
      <w:pPr>
        <w:rPr>
          <w:b/>
          <w:bCs/>
          <w:sz w:val="32"/>
          <w:szCs w:val="32"/>
        </w:rPr>
      </w:pPr>
      <w:r w:rsidRPr="000E025A">
        <w:rPr>
          <w:b/>
          <w:bCs/>
          <w:sz w:val="32"/>
          <w:szCs w:val="32"/>
        </w:rPr>
        <w:t>Acute Care Assessment Tool (ACAT) 2020</w:t>
      </w:r>
    </w:p>
    <w:p w14:paraId="15AC0AE3" w14:textId="042A7465" w:rsidR="00F32A42" w:rsidRDefault="00F32A42" w:rsidP="00092F5C">
      <w:pPr>
        <w:rPr>
          <w:b/>
          <w:bCs/>
          <w:sz w:val="32"/>
          <w:szCs w:val="32"/>
        </w:rPr>
      </w:pPr>
    </w:p>
    <w:p w14:paraId="7B22DD08" w14:textId="639C4FCA" w:rsidR="00F32A42" w:rsidRDefault="00F32A42" w:rsidP="00F32A42">
      <w:r>
        <w:t xml:space="preserve">The internal medicine </w:t>
      </w:r>
      <w:r w:rsidR="006C52D9">
        <w:t xml:space="preserve">stage 1 </w:t>
      </w:r>
      <w:r>
        <w:t xml:space="preserve">curriculum has a critical decision point at the end of year 2 </w:t>
      </w:r>
      <w:r w:rsidR="006C52D9">
        <w:t xml:space="preserve">(IMY2) </w:t>
      </w:r>
      <w:r>
        <w:t>that determines whether the trainee has the necessary capability to lead the acute take</w:t>
      </w:r>
      <w:r w:rsidR="006C52D9">
        <w:t xml:space="preserve"> with indirect supervision</w:t>
      </w:r>
      <w:r>
        <w:t xml:space="preserve">. </w:t>
      </w:r>
      <w:r w:rsidR="006C52D9">
        <w:t xml:space="preserve">The ACAT 2020 includes feedback on </w:t>
      </w:r>
      <w:r>
        <w:t>elements that are critical to running the acute take</w:t>
      </w:r>
      <w:r w:rsidR="006C52D9">
        <w:t xml:space="preserve"> which will help the </w:t>
      </w:r>
      <w:r>
        <w:t xml:space="preserve">educational supervisor </w:t>
      </w:r>
      <w:r w:rsidR="006C52D9">
        <w:t xml:space="preserve">in making a judgement on the level of supervision required for CiP 1. </w:t>
      </w:r>
    </w:p>
    <w:p w14:paraId="7EADF73C" w14:textId="77777777" w:rsidR="006C52D9" w:rsidRDefault="006C52D9" w:rsidP="00F32A42"/>
    <w:p w14:paraId="6BBFF691" w14:textId="5A9B41FD" w:rsidR="00F32A42" w:rsidRPr="000E025A" w:rsidRDefault="006C52D9" w:rsidP="00F32A42">
      <w:pPr>
        <w:rPr>
          <w:b/>
          <w:bCs/>
          <w:sz w:val="32"/>
          <w:szCs w:val="32"/>
        </w:rPr>
      </w:pPr>
      <w:r>
        <w:t xml:space="preserve">Descriptors relating to CiP 1 are included in the ACAT 2020 to prompt </w:t>
      </w:r>
      <w:r w:rsidR="00F32A42">
        <w:t xml:space="preserve">the assessor about the elements that </w:t>
      </w:r>
      <w:r>
        <w:t>they should review and comment on</w:t>
      </w:r>
      <w:r w:rsidR="00F32A42">
        <w:t>. If any aspect of the assessment cannot be covered then it is important that the assessor state</w:t>
      </w:r>
      <w:r>
        <w:t>s</w:t>
      </w:r>
      <w:r w:rsidR="00F32A42">
        <w:t xml:space="preserve"> that they are unable to comment. The trainee should have seen at least five patients to make the assessment </w:t>
      </w:r>
      <w:r>
        <w:t>valid</w:t>
      </w:r>
      <w:r w:rsidR="00F32A42">
        <w:t xml:space="preserve">. The trainee should </w:t>
      </w:r>
      <w:r>
        <w:t xml:space="preserve">discuss with their educational supervisor the </w:t>
      </w:r>
      <w:r w:rsidR="00F32A42">
        <w:t xml:space="preserve">number of ACAT 2020 </w:t>
      </w:r>
      <w:r>
        <w:t>supervised learning events required to demonstrate capability</w:t>
      </w:r>
      <w:r w:rsidR="00F32A42">
        <w:t xml:space="preserve">. It is unlikely that a single </w:t>
      </w:r>
      <w:r>
        <w:t>ACAT</w:t>
      </w:r>
      <w:r w:rsidR="00F32A42">
        <w:t xml:space="preserve"> could provide </w:t>
      </w:r>
      <w:r>
        <w:t xml:space="preserve">sufficient </w:t>
      </w:r>
      <w:r w:rsidR="00F32A42">
        <w:t>evidence but the assessment of overall progress by the educational supervisor will also take into account the multiple consultant reports as part an holistic assessment of the trainees capabilities.</w:t>
      </w:r>
    </w:p>
    <w:p w14:paraId="4996394F" w14:textId="77777777" w:rsidR="00092F5C" w:rsidRPr="00092F5C" w:rsidRDefault="00092F5C" w:rsidP="00092F5C">
      <w:pPr>
        <w:rPr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618"/>
        <w:gridCol w:w="982"/>
        <w:gridCol w:w="638"/>
        <w:gridCol w:w="293"/>
        <w:gridCol w:w="1330"/>
        <w:gridCol w:w="412"/>
        <w:gridCol w:w="1209"/>
        <w:gridCol w:w="1623"/>
      </w:tblGrid>
      <w:tr w:rsidR="00092F5C" w:rsidRPr="00092F5C" w14:paraId="03FF50EC" w14:textId="77777777" w:rsidTr="008B5DFA">
        <w:trPr>
          <w:trHeight w:val="264"/>
        </w:trPr>
        <w:tc>
          <w:tcPr>
            <w:tcW w:w="1319" w:type="pct"/>
            <w:shd w:val="clear" w:color="auto" w:fill="auto"/>
          </w:tcPr>
          <w:p w14:paraId="23216983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Trainee’s name:</w:t>
            </w:r>
          </w:p>
        </w:tc>
        <w:tc>
          <w:tcPr>
            <w:tcW w:w="1604" w:type="pct"/>
            <w:gridSpan w:val="4"/>
            <w:shd w:val="clear" w:color="auto" w:fill="auto"/>
          </w:tcPr>
          <w:p w14:paraId="39A44811" w14:textId="77777777" w:rsidR="00092F5C" w:rsidRDefault="00092F5C" w:rsidP="00092F5C">
            <w:pPr>
              <w:rPr>
                <w:b/>
                <w:szCs w:val="22"/>
              </w:rPr>
            </w:pPr>
          </w:p>
          <w:p w14:paraId="53D989F3" w14:textId="55EE7FA9" w:rsidR="000E025A" w:rsidRPr="00092F5C" w:rsidRDefault="000E025A" w:rsidP="00092F5C">
            <w:pPr>
              <w:rPr>
                <w:b/>
                <w:szCs w:val="22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14:paraId="5B8E146E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Trainee’s GMC</w:t>
            </w:r>
          </w:p>
        </w:tc>
        <w:tc>
          <w:tcPr>
            <w:tcW w:w="1286" w:type="pct"/>
            <w:gridSpan w:val="2"/>
            <w:shd w:val="clear" w:color="auto" w:fill="auto"/>
          </w:tcPr>
          <w:p w14:paraId="74B2A20A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</w:tc>
      </w:tr>
      <w:tr w:rsidR="00092F5C" w:rsidRPr="00092F5C" w14:paraId="3135E1FC" w14:textId="77777777" w:rsidTr="008B5DFA">
        <w:trPr>
          <w:trHeight w:val="264"/>
        </w:trPr>
        <w:tc>
          <w:tcPr>
            <w:tcW w:w="1319" w:type="pct"/>
            <w:shd w:val="clear" w:color="auto" w:fill="auto"/>
          </w:tcPr>
          <w:p w14:paraId="74D027CD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Trainee’s training programme</w:t>
            </w:r>
          </w:p>
        </w:tc>
        <w:tc>
          <w:tcPr>
            <w:tcW w:w="1604" w:type="pct"/>
            <w:gridSpan w:val="4"/>
            <w:shd w:val="clear" w:color="auto" w:fill="auto"/>
          </w:tcPr>
          <w:p w14:paraId="7093DAE8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14:paraId="7341E4CC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Trainee’s post/grade</w:t>
            </w:r>
          </w:p>
        </w:tc>
        <w:tc>
          <w:tcPr>
            <w:tcW w:w="1286" w:type="pct"/>
            <w:gridSpan w:val="2"/>
            <w:shd w:val="clear" w:color="auto" w:fill="auto"/>
          </w:tcPr>
          <w:p w14:paraId="41F36351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</w:tc>
      </w:tr>
      <w:tr w:rsidR="00092F5C" w:rsidRPr="00092F5C" w14:paraId="1B684D67" w14:textId="77777777" w:rsidTr="008B5DFA">
        <w:tc>
          <w:tcPr>
            <w:tcW w:w="1319" w:type="pct"/>
            <w:shd w:val="clear" w:color="auto" w:fill="auto"/>
          </w:tcPr>
          <w:p w14:paraId="7B2B45ED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Assessor:</w:t>
            </w:r>
            <w:r w:rsidRPr="00092F5C">
              <w:rPr>
                <w:b/>
                <w:szCs w:val="22"/>
              </w:rPr>
              <w:tab/>
            </w:r>
          </w:p>
          <w:p w14:paraId="46269CF1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</w:tc>
        <w:tc>
          <w:tcPr>
            <w:tcW w:w="1604" w:type="pct"/>
            <w:gridSpan w:val="4"/>
            <w:shd w:val="clear" w:color="auto" w:fill="auto"/>
          </w:tcPr>
          <w:p w14:paraId="525FAF87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14:paraId="3BDDB00D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>Date of assessment</w:t>
            </w:r>
          </w:p>
        </w:tc>
        <w:tc>
          <w:tcPr>
            <w:tcW w:w="1286" w:type="pct"/>
            <w:gridSpan w:val="2"/>
            <w:shd w:val="clear" w:color="auto" w:fill="auto"/>
          </w:tcPr>
          <w:p w14:paraId="42B7ACAD" w14:textId="77777777" w:rsidR="00092F5C" w:rsidRPr="00092F5C" w:rsidRDefault="00092F5C" w:rsidP="00092F5C">
            <w:pPr>
              <w:rPr>
                <w:b/>
                <w:szCs w:val="22"/>
              </w:rPr>
            </w:pPr>
            <w:r w:rsidRPr="00092F5C">
              <w:rPr>
                <w:b/>
                <w:szCs w:val="22"/>
              </w:rPr>
              <w:t xml:space="preserve">         </w:t>
            </w:r>
          </w:p>
        </w:tc>
      </w:tr>
      <w:tr w:rsidR="00821CD1" w:rsidRPr="00092F5C" w14:paraId="4D917190" w14:textId="77777777" w:rsidTr="008B5DFA">
        <w:tc>
          <w:tcPr>
            <w:tcW w:w="1319" w:type="pct"/>
            <w:shd w:val="clear" w:color="auto" w:fill="auto"/>
          </w:tcPr>
          <w:p w14:paraId="5B3C73F1" w14:textId="61F96912" w:rsidR="00821CD1" w:rsidRPr="00092F5C" w:rsidRDefault="00821CD1" w:rsidP="00092F5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you completing this assessment as a consultant?</w:t>
            </w:r>
          </w:p>
        </w:tc>
        <w:tc>
          <w:tcPr>
            <w:tcW w:w="1604" w:type="pct"/>
            <w:gridSpan w:val="4"/>
            <w:shd w:val="clear" w:color="auto" w:fill="auto"/>
          </w:tcPr>
          <w:p w14:paraId="3938C97B" w14:textId="3B4D37EA" w:rsidR="00821CD1" w:rsidRPr="00092F5C" w:rsidRDefault="00821CD1" w:rsidP="00092F5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Y/N</w:t>
            </w:r>
          </w:p>
        </w:tc>
        <w:tc>
          <w:tcPr>
            <w:tcW w:w="791" w:type="pct"/>
            <w:gridSpan w:val="2"/>
            <w:shd w:val="clear" w:color="auto" w:fill="auto"/>
          </w:tcPr>
          <w:p w14:paraId="529640DC" w14:textId="77777777" w:rsidR="00821CD1" w:rsidRPr="00092F5C" w:rsidRDefault="00821CD1" w:rsidP="00092F5C">
            <w:pPr>
              <w:rPr>
                <w:b/>
                <w:szCs w:val="22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14:paraId="69431535" w14:textId="77777777" w:rsidR="00821CD1" w:rsidRPr="00092F5C" w:rsidRDefault="00821CD1" w:rsidP="00092F5C">
            <w:pPr>
              <w:rPr>
                <w:b/>
                <w:szCs w:val="22"/>
              </w:rPr>
            </w:pPr>
          </w:p>
        </w:tc>
      </w:tr>
      <w:tr w:rsidR="00092F5C" w:rsidRPr="00092F5C" w14:paraId="429A5190" w14:textId="77777777" w:rsidTr="00092F5C">
        <w:trPr>
          <w:trHeight w:val="356"/>
        </w:trPr>
        <w:tc>
          <w:tcPr>
            <w:tcW w:w="5000" w:type="pct"/>
            <w:gridSpan w:val="9"/>
            <w:shd w:val="clear" w:color="auto" w:fill="auto"/>
          </w:tcPr>
          <w:p w14:paraId="0B6E391F" w14:textId="77777777" w:rsidR="00092F5C" w:rsidRPr="00092F5C" w:rsidRDefault="00092F5C" w:rsidP="00092F5C">
            <w:pPr>
              <w:rPr>
                <w:b/>
                <w:bCs/>
                <w:szCs w:val="22"/>
              </w:rPr>
            </w:pPr>
            <w:r w:rsidRPr="00092F5C">
              <w:rPr>
                <w:b/>
                <w:bCs/>
                <w:szCs w:val="22"/>
              </w:rPr>
              <w:t>How has the trainee’s work been assessed?</w:t>
            </w:r>
          </w:p>
          <w:p w14:paraId="1E91FF6E" w14:textId="77777777" w:rsidR="00092F5C" w:rsidRPr="00092F5C" w:rsidRDefault="00092F5C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e.g. direct observation during acute work, PTWR, ward round in down-stream unit</w:t>
            </w:r>
          </w:p>
          <w:p w14:paraId="6200D608" w14:textId="77777777" w:rsidR="00092F5C" w:rsidRPr="00092F5C" w:rsidRDefault="00092F5C" w:rsidP="00092F5C">
            <w:pPr>
              <w:rPr>
                <w:b/>
                <w:szCs w:val="22"/>
              </w:rPr>
            </w:pPr>
          </w:p>
          <w:p w14:paraId="551FDE27" w14:textId="77777777" w:rsidR="00092F5C" w:rsidRPr="00092F5C" w:rsidRDefault="00092F5C" w:rsidP="00092F5C">
            <w:pPr>
              <w:rPr>
                <w:b/>
                <w:bCs/>
                <w:szCs w:val="22"/>
              </w:rPr>
            </w:pPr>
          </w:p>
        </w:tc>
      </w:tr>
      <w:tr w:rsidR="008B5DFA" w:rsidRPr="00092F5C" w14:paraId="0CA3887A" w14:textId="77777777" w:rsidTr="00092F5C">
        <w:trPr>
          <w:trHeight w:val="356"/>
        </w:trPr>
        <w:tc>
          <w:tcPr>
            <w:tcW w:w="5000" w:type="pct"/>
            <w:gridSpan w:val="9"/>
            <w:shd w:val="clear" w:color="auto" w:fill="auto"/>
          </w:tcPr>
          <w:p w14:paraId="02E1B380" w14:textId="1C6E0D33" w:rsidR="008B5DFA" w:rsidRDefault="008B5DFA" w:rsidP="00092F5C">
            <w:pPr>
              <w:rPr>
                <w:b/>
                <w:bCs/>
                <w:szCs w:val="22"/>
              </w:rPr>
            </w:pPr>
            <w:r w:rsidRPr="00092F5C">
              <w:rPr>
                <w:b/>
                <w:bCs/>
                <w:szCs w:val="22"/>
              </w:rPr>
              <w:t xml:space="preserve">Short summary of patients seen  </w:t>
            </w:r>
            <w:r w:rsidR="00821CD1" w:rsidRPr="00821CD1">
              <w:rPr>
                <w:szCs w:val="22"/>
              </w:rPr>
              <w:t xml:space="preserve">(at least </w:t>
            </w:r>
            <w:r w:rsidR="00821CD1">
              <w:rPr>
                <w:szCs w:val="22"/>
              </w:rPr>
              <w:t>5</w:t>
            </w:r>
            <w:r w:rsidR="00821CD1" w:rsidRPr="00821CD1">
              <w:rPr>
                <w:szCs w:val="22"/>
              </w:rPr>
              <w:t xml:space="preserve"> patients for a valid ACAT)</w:t>
            </w:r>
          </w:p>
          <w:p w14:paraId="24E25578" w14:textId="77777777" w:rsidR="008B5DFA" w:rsidRDefault="008B5DFA" w:rsidP="00092F5C">
            <w:pPr>
              <w:rPr>
                <w:b/>
                <w:bCs/>
                <w:szCs w:val="22"/>
              </w:rPr>
            </w:pPr>
          </w:p>
          <w:p w14:paraId="076018C9" w14:textId="27AFF8A3" w:rsidR="008B5DFA" w:rsidRPr="00092F5C" w:rsidRDefault="008B5DFA" w:rsidP="00092F5C">
            <w:pPr>
              <w:rPr>
                <w:b/>
                <w:bCs/>
                <w:szCs w:val="22"/>
              </w:rPr>
            </w:pPr>
          </w:p>
        </w:tc>
      </w:tr>
      <w:tr w:rsidR="0026336A" w:rsidRPr="00CB6ADA" w14:paraId="317C9919" w14:textId="77777777" w:rsidTr="00634E78">
        <w:trPr>
          <w:trHeight w:val="2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18B" w14:textId="77777777" w:rsidR="0026336A" w:rsidRPr="00CB6ADA" w:rsidRDefault="0026336A" w:rsidP="00634E78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  <w:r w:rsidRPr="00CB6ADA">
              <w:rPr>
                <w:rFonts w:ascii="Calibri" w:eastAsia="Cambria" w:hAnsi="Calibri" w:cs="Times New Roman"/>
                <w:b/>
                <w:bCs/>
                <w:szCs w:val="22"/>
              </w:rPr>
              <w:t xml:space="preserve">Which aspects were done well? </w:t>
            </w:r>
          </w:p>
          <w:p w14:paraId="2B184144" w14:textId="27AA3771" w:rsidR="0026336A" w:rsidRDefault="0026336A" w:rsidP="00634E78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  <w:r w:rsidRPr="00CB6ADA">
              <w:rPr>
                <w:rFonts w:ascii="Calibri" w:eastAsia="Cambria" w:hAnsi="Calibri" w:cs="Times New Roman"/>
                <w:b/>
                <w:bCs/>
                <w:szCs w:val="22"/>
              </w:rPr>
              <w:t>Please comment on the following areas as appropriate in the box below:</w:t>
            </w:r>
          </w:p>
          <w:p w14:paraId="481DAF22" w14:textId="35D49753" w:rsidR="008B5DFA" w:rsidRDefault="008B5DFA" w:rsidP="00634E78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</w:p>
          <w:p w14:paraId="37BE1B2D" w14:textId="61BF6819" w:rsidR="008B5DFA" w:rsidRPr="00CB6ADA" w:rsidRDefault="008B5DFA" w:rsidP="00634E78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  <w:r w:rsidRPr="008B5DFA">
              <w:rPr>
                <w:rFonts w:ascii="Calibri" w:eastAsia="Cambria" w:hAnsi="Calibri" w:cs="Times New Roman"/>
                <w:b/>
                <w:bCs/>
                <w:szCs w:val="22"/>
              </w:rPr>
              <w:t>Managing an acute unselected take</w:t>
            </w:r>
            <w:r>
              <w:rPr>
                <w:rFonts w:ascii="Calibri" w:eastAsia="Cambria" w:hAnsi="Calibri" w:cs="Times New Roman"/>
                <w:b/>
                <w:bCs/>
                <w:szCs w:val="22"/>
              </w:rPr>
              <w:t xml:space="preserve"> </w:t>
            </w:r>
          </w:p>
          <w:p w14:paraId="3E8057D8" w14:textId="49B3E68F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Demonstrates professional behaviour with regard to patients, carers, colleagues and others</w:t>
            </w:r>
          </w:p>
          <w:p w14:paraId="5CB6BE8D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Delivers patient centred care including shared decision making</w:t>
            </w:r>
          </w:p>
          <w:p w14:paraId="69B91331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Takes a relevant patient history including patient symptoms, concerns, priorities and preferences</w:t>
            </w:r>
          </w:p>
          <w:p w14:paraId="7C22352F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Performs accurate clinical examinations</w:t>
            </w:r>
          </w:p>
          <w:p w14:paraId="475F4BFA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 xml:space="preserve">Shows appropriate clinical reasoning by analysing physical and psychological findings </w:t>
            </w:r>
          </w:p>
          <w:p w14:paraId="2DF2920F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Formulates an appropriate differential diagnosis</w:t>
            </w:r>
          </w:p>
          <w:p w14:paraId="4DDA13ED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Formulates an appropriate diagnostic and management plan, taking into account patient preferences, and the urgency required</w:t>
            </w:r>
          </w:p>
          <w:p w14:paraId="423B5A11" w14:textId="77777777" w:rsidR="007E7198" w:rsidRP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 xml:space="preserve">Explains clinical reasoning behind diagnostic and clinical management decisions to patients/carers/guardians and other colleagues </w:t>
            </w:r>
          </w:p>
          <w:p w14:paraId="63844360" w14:textId="77777777" w:rsidR="007E7198" w:rsidRDefault="007E7198" w:rsidP="007E719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Appropriately selects, manages and interprets investigations</w:t>
            </w:r>
          </w:p>
          <w:p w14:paraId="55A57BAF" w14:textId="77777777" w:rsidR="0026336A" w:rsidRDefault="007E7198" w:rsidP="00634E78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7E7198">
              <w:rPr>
                <w:rFonts w:ascii="Calibri" w:eastAsia="Cambria" w:hAnsi="Calibri" w:cs="Times New Roman"/>
                <w:szCs w:val="22"/>
              </w:rPr>
              <w:t>Recognises need to liaise with specialty services and refers where appropriate</w:t>
            </w:r>
          </w:p>
          <w:p w14:paraId="75A38541" w14:textId="77777777" w:rsidR="008B5DFA" w:rsidRDefault="008B5DFA" w:rsidP="008B5DFA">
            <w:pPr>
              <w:rPr>
                <w:rFonts w:ascii="Calibri" w:eastAsia="Cambria" w:hAnsi="Calibri" w:cs="Times New Roman"/>
                <w:szCs w:val="22"/>
              </w:rPr>
            </w:pPr>
          </w:p>
          <w:p w14:paraId="44A7849E" w14:textId="77777777" w:rsidR="008B5DFA" w:rsidRDefault="008B5DFA" w:rsidP="008B5DFA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  <w:r w:rsidRPr="008B5DFA">
              <w:rPr>
                <w:rFonts w:ascii="Calibri" w:eastAsia="Cambria" w:hAnsi="Calibri" w:cs="Times New Roman"/>
                <w:b/>
                <w:bCs/>
                <w:szCs w:val="22"/>
              </w:rPr>
              <w:t>Delivering effective resuscitation and managing the acutely deteriorating patient</w:t>
            </w:r>
          </w:p>
          <w:p w14:paraId="1D487C4C" w14:textId="75E03E81" w:rsidR="008B5DFA" w:rsidRPr="008B5DFA" w:rsidRDefault="008B5DFA" w:rsidP="008B5DFA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8B5DFA">
              <w:rPr>
                <w:rFonts w:ascii="Calibri" w:eastAsia="Cambria" w:hAnsi="Calibri" w:cs="Times New Roman"/>
                <w:szCs w:val="22"/>
              </w:rPr>
              <w:t>Demonstrates prompt assessment of the acutely deteriorating patient, including those who are shocked or unconscious</w:t>
            </w:r>
          </w:p>
          <w:p w14:paraId="00D53AEB" w14:textId="2F994DF3" w:rsidR="008B5DFA" w:rsidRPr="008B5DFA" w:rsidRDefault="008B5DFA" w:rsidP="008B5DFA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8B5DFA">
              <w:rPr>
                <w:rFonts w:ascii="Calibri" w:eastAsia="Cambria" w:hAnsi="Calibri" w:cs="Times New Roman"/>
                <w:szCs w:val="22"/>
              </w:rPr>
              <w:t xml:space="preserve">Demonstrates the professional requirements and legal processes associated with consent for resuscitation </w:t>
            </w:r>
          </w:p>
          <w:p w14:paraId="0F41EB8B" w14:textId="3E8635B5" w:rsidR="008B5DFA" w:rsidRPr="008B5DFA" w:rsidRDefault="008B5DFA" w:rsidP="008B5DFA">
            <w:pPr>
              <w:numPr>
                <w:ilvl w:val="0"/>
                <w:numId w:val="1"/>
              </w:numPr>
              <w:rPr>
                <w:rFonts w:ascii="Calibri" w:eastAsia="Cambria" w:hAnsi="Calibri" w:cs="Times New Roman"/>
                <w:szCs w:val="22"/>
              </w:rPr>
            </w:pPr>
            <w:r w:rsidRPr="008B5DFA">
              <w:rPr>
                <w:rFonts w:ascii="Calibri" w:eastAsia="Cambria" w:hAnsi="Calibri" w:cs="Times New Roman"/>
                <w:szCs w:val="22"/>
              </w:rPr>
              <w:t>Participates effectively in decision making with regard to resuscitation decisions, including decisions not to attempt CPR, and involves patients and their families</w:t>
            </w:r>
          </w:p>
          <w:p w14:paraId="309A7B65" w14:textId="4C91895C" w:rsidR="008B5DFA" w:rsidRPr="008B5DFA" w:rsidRDefault="008B5DFA" w:rsidP="008B5DFA">
            <w:pPr>
              <w:numPr>
                <w:ilvl w:val="0"/>
                <w:numId w:val="1"/>
              </w:numPr>
            </w:pPr>
            <w:r w:rsidRPr="008B5DFA">
              <w:rPr>
                <w:rFonts w:ascii="Calibri" w:eastAsia="Cambria" w:hAnsi="Calibri" w:cs="Times New Roman"/>
                <w:szCs w:val="22"/>
              </w:rPr>
              <w:t>Demonstrates</w:t>
            </w:r>
            <w:r w:rsidRPr="008B5DFA">
              <w:t xml:space="preserve"> competence in carrying out resuscitation</w:t>
            </w:r>
          </w:p>
        </w:tc>
      </w:tr>
      <w:tr w:rsidR="0026336A" w:rsidRPr="00CB6ADA" w14:paraId="4D090C7A" w14:textId="77777777" w:rsidTr="00634E78">
        <w:trPr>
          <w:trHeight w:val="6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31E5" w14:textId="77777777" w:rsidR="0026336A" w:rsidRPr="00CB6ADA" w:rsidRDefault="0026336A" w:rsidP="00634E78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</w:p>
          <w:p w14:paraId="6628E18D" w14:textId="77777777" w:rsidR="0026336A" w:rsidRPr="00CB6ADA" w:rsidRDefault="0026336A" w:rsidP="00634E78">
            <w:pPr>
              <w:rPr>
                <w:rFonts w:ascii="Calibri" w:eastAsia="Cambria" w:hAnsi="Calibri" w:cs="Times New Roman"/>
                <w:szCs w:val="22"/>
              </w:rPr>
            </w:pPr>
          </w:p>
          <w:p w14:paraId="4961C360" w14:textId="318E5B94" w:rsidR="0026336A" w:rsidRDefault="0026336A" w:rsidP="00634E78">
            <w:pPr>
              <w:rPr>
                <w:rFonts w:ascii="Calibri" w:eastAsia="Cambria" w:hAnsi="Calibri" w:cs="Times New Roman"/>
                <w:szCs w:val="22"/>
              </w:rPr>
            </w:pPr>
          </w:p>
          <w:p w14:paraId="78566FF5" w14:textId="77777777" w:rsidR="000E025A" w:rsidRPr="00CB6ADA" w:rsidRDefault="000E025A" w:rsidP="00634E78">
            <w:pPr>
              <w:rPr>
                <w:rFonts w:ascii="Calibri" w:eastAsia="Cambria" w:hAnsi="Calibri" w:cs="Times New Roman"/>
                <w:szCs w:val="22"/>
              </w:rPr>
            </w:pPr>
          </w:p>
          <w:p w14:paraId="46911BF5" w14:textId="77777777" w:rsidR="0026336A" w:rsidRPr="00CB6ADA" w:rsidRDefault="0026336A" w:rsidP="00634E78">
            <w:pPr>
              <w:rPr>
                <w:rFonts w:ascii="Calibri" w:eastAsia="Cambria" w:hAnsi="Calibri" w:cs="Times New Roman"/>
                <w:szCs w:val="22"/>
              </w:rPr>
            </w:pPr>
          </w:p>
          <w:p w14:paraId="47EA56ED" w14:textId="77777777" w:rsidR="0026336A" w:rsidRPr="00CB6ADA" w:rsidRDefault="0026336A" w:rsidP="00634E78">
            <w:pPr>
              <w:rPr>
                <w:rFonts w:ascii="Calibri" w:eastAsia="Cambria" w:hAnsi="Calibri" w:cs="Times New Roman"/>
                <w:szCs w:val="22"/>
              </w:rPr>
            </w:pPr>
          </w:p>
          <w:p w14:paraId="0415A289" w14:textId="77777777" w:rsidR="0026336A" w:rsidRPr="00CB6ADA" w:rsidRDefault="0026336A" w:rsidP="00634E78">
            <w:pPr>
              <w:rPr>
                <w:rFonts w:ascii="Calibri" w:eastAsia="Cambria" w:hAnsi="Calibri" w:cs="Times New Roman"/>
                <w:szCs w:val="22"/>
              </w:rPr>
            </w:pPr>
          </w:p>
        </w:tc>
      </w:tr>
      <w:tr w:rsidR="00A510FB" w:rsidRPr="00CB6ADA" w14:paraId="2B981835" w14:textId="77777777" w:rsidTr="007E7198">
        <w:trPr>
          <w:trHeight w:val="9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1D7" w14:textId="77777777" w:rsidR="00A510FB" w:rsidRPr="00CB6ADA" w:rsidRDefault="00A510FB" w:rsidP="00A510FB">
            <w:pPr>
              <w:rPr>
                <w:b/>
                <w:bCs/>
                <w:szCs w:val="22"/>
              </w:rPr>
            </w:pPr>
            <w:r w:rsidRPr="00CB6ADA">
              <w:rPr>
                <w:b/>
                <w:bCs/>
                <w:szCs w:val="22"/>
              </w:rPr>
              <w:t xml:space="preserve">Suggested areas for development </w:t>
            </w:r>
          </w:p>
          <w:p w14:paraId="114D3EF3" w14:textId="77777777" w:rsidR="00A510FB" w:rsidRPr="00CB6ADA" w:rsidRDefault="00A510FB" w:rsidP="00A510FB">
            <w:pPr>
              <w:rPr>
                <w:b/>
                <w:bCs/>
                <w:szCs w:val="22"/>
              </w:rPr>
            </w:pPr>
            <w:r w:rsidRPr="00CB6ADA">
              <w:rPr>
                <w:b/>
                <w:bCs/>
                <w:szCs w:val="22"/>
              </w:rPr>
              <w:t>Please comment on the following areas as appropriate in the box below:</w:t>
            </w:r>
          </w:p>
          <w:p w14:paraId="5B749B96" w14:textId="0821F732" w:rsid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To understand the management of the breadth of acute illness</w:t>
            </w:r>
          </w:p>
          <w:p w14:paraId="1A14E261" w14:textId="7BE7713F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To manage the acutely ill patient</w:t>
            </w:r>
          </w:p>
          <w:p w14:paraId="2381A2E2" w14:textId="224AF802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Be able to assess a patient in a defined time-frame</w:t>
            </w:r>
          </w:p>
          <w:p w14:paraId="5BF81044" w14:textId="4803AC23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To propose an investigation and management plan in the acute medical situation</w:t>
            </w:r>
          </w:p>
          <w:p w14:paraId="5694F30B" w14:textId="7F532EBB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To review and amend existing investigation plans</w:t>
            </w:r>
          </w:p>
          <w:p w14:paraId="3534A642" w14:textId="640B07A3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To document clearly in the medical record</w:t>
            </w:r>
          </w:p>
          <w:p w14:paraId="0B8B57C7" w14:textId="3B6AFDAD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>To communicate with the patient and where necessary relatives and other health care professionals</w:t>
            </w:r>
          </w:p>
          <w:p w14:paraId="1292AD38" w14:textId="58EE5FE7" w:rsidR="00A510FB" w:rsidRPr="00A510FB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 xml:space="preserve">To provide leadership to the acute take medical team </w:t>
            </w:r>
          </w:p>
          <w:p w14:paraId="50782108" w14:textId="5512547B" w:rsidR="00A510FB" w:rsidRPr="000E025A" w:rsidRDefault="00A510FB" w:rsidP="00A510F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A510FB">
              <w:rPr>
                <w:szCs w:val="22"/>
              </w:rPr>
              <w:t xml:space="preserve">To </w:t>
            </w:r>
            <w:r>
              <w:rPr>
                <w:szCs w:val="22"/>
              </w:rPr>
              <w:t xml:space="preserve">improve </w:t>
            </w:r>
            <w:r w:rsidRPr="00A510FB">
              <w:rPr>
                <w:szCs w:val="22"/>
              </w:rPr>
              <w:t>manage</w:t>
            </w:r>
            <w:r>
              <w:rPr>
                <w:szCs w:val="22"/>
              </w:rPr>
              <w:t>ment of clinical</w:t>
            </w:r>
            <w:r w:rsidRPr="00A510FB">
              <w:rPr>
                <w:szCs w:val="22"/>
              </w:rPr>
              <w:t xml:space="preserve"> handover</w:t>
            </w:r>
          </w:p>
        </w:tc>
      </w:tr>
      <w:tr w:rsidR="00A510FB" w:rsidRPr="00CB6ADA" w14:paraId="574F0353" w14:textId="77777777" w:rsidTr="00634E78">
        <w:trPr>
          <w:trHeight w:val="1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7D1A" w14:textId="77777777" w:rsidR="00A510FB" w:rsidRPr="00CB6ADA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72FD0BBC" w14:textId="77777777" w:rsidR="00A510FB" w:rsidRPr="00CB6ADA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70B81B76" w14:textId="77777777" w:rsidR="00A510FB" w:rsidRPr="00CB6ADA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62027AEC" w14:textId="3B3FD678" w:rsidR="00A510FB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1B139934" w14:textId="77777777" w:rsidR="000E025A" w:rsidRPr="00CB6ADA" w:rsidRDefault="000E025A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14328FB8" w14:textId="77777777" w:rsidR="00A510FB" w:rsidRPr="00CB6ADA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  <w:p w14:paraId="72C05377" w14:textId="77777777" w:rsidR="00A510FB" w:rsidRPr="00CB6ADA" w:rsidRDefault="00A510FB" w:rsidP="00A510FB">
            <w:pPr>
              <w:rPr>
                <w:rFonts w:ascii="Calibri" w:eastAsia="Cambria" w:hAnsi="Calibri" w:cs="Times New Roman"/>
                <w:szCs w:val="22"/>
              </w:rPr>
            </w:pPr>
          </w:p>
        </w:tc>
      </w:tr>
      <w:tr w:rsidR="0026336A" w:rsidRPr="000E025A" w14:paraId="1E584A56" w14:textId="77777777" w:rsidTr="000E025A">
        <w:trPr>
          <w:cantSplit/>
          <w:trHeight w:val="1136"/>
        </w:trPr>
        <w:tc>
          <w:tcPr>
            <w:tcW w:w="2054" w:type="pct"/>
            <w:gridSpan w:val="2"/>
            <w:shd w:val="clear" w:color="auto" w:fill="auto"/>
          </w:tcPr>
          <w:p w14:paraId="10F69C9A" w14:textId="77777777" w:rsidR="0026336A" w:rsidRPr="000E025A" w:rsidRDefault="0026336A" w:rsidP="00092F5C">
            <w:pPr>
              <w:rPr>
                <w:rFonts w:ascii="Calibri" w:hAnsi="Calibri" w:cs="Calibri"/>
                <w:szCs w:val="22"/>
              </w:rPr>
            </w:pPr>
            <w:r w:rsidRPr="000E025A">
              <w:rPr>
                <w:rFonts w:ascii="Calibri" w:hAnsi="Calibri" w:cs="Calibri"/>
                <w:szCs w:val="22"/>
              </w:rPr>
              <w:t>Please TICK (</w:t>
            </w:r>
            <w:r w:rsidRPr="000E025A">
              <w:rPr>
                <w:rFonts w:ascii="Segoe UI Symbol" w:hAnsi="Segoe UI Symbol" w:cs="Segoe UI Symbol"/>
                <w:szCs w:val="22"/>
              </w:rPr>
              <w:t>✓</w:t>
            </w:r>
            <w:r w:rsidRPr="000E025A">
              <w:rPr>
                <w:rFonts w:ascii="Calibri" w:hAnsi="Calibri" w:cs="Calibri"/>
                <w:szCs w:val="22"/>
              </w:rPr>
              <w:t xml:space="preserve">) to indicate the standard of the trainee’s performance in each area 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5FE26CE7" w14:textId="77777777" w:rsidR="0026336A" w:rsidRPr="000E025A" w:rsidRDefault="0026336A" w:rsidP="000E025A">
            <w:pPr>
              <w:rPr>
                <w:rFonts w:ascii="Calibri" w:hAnsi="Calibri" w:cs="Calibri"/>
                <w:szCs w:val="22"/>
              </w:rPr>
            </w:pPr>
            <w:r w:rsidRPr="000E025A">
              <w:rPr>
                <w:rFonts w:ascii="Calibri" w:hAnsi="Calibri" w:cs="Calibri"/>
                <w:szCs w:val="22"/>
              </w:rPr>
              <w:t>Unable to comment</w:t>
            </w:r>
          </w:p>
        </w:tc>
        <w:tc>
          <w:tcPr>
            <w:tcW w:w="737" w:type="pct"/>
            <w:gridSpan w:val="2"/>
            <w:shd w:val="clear" w:color="auto" w:fill="auto"/>
          </w:tcPr>
          <w:p w14:paraId="077BCCC5" w14:textId="39972814" w:rsidR="0026336A" w:rsidRPr="000E025A" w:rsidRDefault="0026336A" w:rsidP="000E025A">
            <w:pPr>
              <w:rPr>
                <w:rFonts w:ascii="Calibri" w:hAnsi="Calibri" w:cs="Calibri"/>
                <w:szCs w:val="22"/>
              </w:rPr>
            </w:pPr>
            <w:r w:rsidRPr="000E025A">
              <w:rPr>
                <w:rFonts w:ascii="Calibri" w:hAnsi="Calibri" w:cs="Calibri"/>
                <w:szCs w:val="22"/>
              </w:rPr>
              <w:t xml:space="preserve">Below expectations for </w:t>
            </w:r>
            <w:r w:rsidR="000477D0">
              <w:rPr>
                <w:rFonts w:ascii="Calibri" w:hAnsi="Calibri" w:cs="Calibri"/>
                <w:szCs w:val="22"/>
              </w:rPr>
              <w:t xml:space="preserve">year </w:t>
            </w:r>
            <w:r w:rsidRPr="000E025A">
              <w:rPr>
                <w:rFonts w:ascii="Calibri" w:hAnsi="Calibri" w:cs="Calibri"/>
                <w:szCs w:val="22"/>
              </w:rPr>
              <w:t>of training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39D262F0" w14:textId="291F4D18" w:rsidR="0026336A" w:rsidRPr="000E025A" w:rsidRDefault="0026336A" w:rsidP="000E025A">
            <w:pPr>
              <w:rPr>
                <w:rFonts w:ascii="Calibri" w:hAnsi="Calibri" w:cs="Calibri"/>
                <w:szCs w:val="22"/>
              </w:rPr>
            </w:pPr>
            <w:r w:rsidRPr="000E025A">
              <w:rPr>
                <w:rFonts w:ascii="Calibri" w:hAnsi="Calibri" w:cs="Calibri"/>
                <w:szCs w:val="22"/>
              </w:rPr>
              <w:t xml:space="preserve">Meets expectations for </w:t>
            </w:r>
            <w:r w:rsidR="000477D0">
              <w:rPr>
                <w:rFonts w:ascii="Calibri" w:hAnsi="Calibri" w:cs="Calibri"/>
                <w:szCs w:val="22"/>
              </w:rPr>
              <w:t>year</w:t>
            </w:r>
            <w:r w:rsidRPr="000E025A">
              <w:rPr>
                <w:rFonts w:ascii="Calibri" w:hAnsi="Calibri" w:cs="Calibri"/>
                <w:szCs w:val="22"/>
              </w:rPr>
              <w:t xml:space="preserve"> of training</w:t>
            </w:r>
          </w:p>
        </w:tc>
        <w:tc>
          <w:tcPr>
            <w:tcW w:w="737" w:type="pct"/>
            <w:shd w:val="clear" w:color="auto" w:fill="auto"/>
          </w:tcPr>
          <w:p w14:paraId="0DC0E69A" w14:textId="27B180FC" w:rsidR="0026336A" w:rsidRPr="000E025A" w:rsidRDefault="0026336A" w:rsidP="000E025A">
            <w:pPr>
              <w:rPr>
                <w:rFonts w:ascii="Calibri" w:hAnsi="Calibri" w:cs="Calibri"/>
                <w:szCs w:val="22"/>
              </w:rPr>
            </w:pPr>
            <w:r w:rsidRPr="000E025A">
              <w:rPr>
                <w:rFonts w:ascii="Calibri" w:hAnsi="Calibri" w:cs="Calibri"/>
                <w:szCs w:val="22"/>
              </w:rPr>
              <w:t xml:space="preserve">Above expectation for </w:t>
            </w:r>
            <w:r w:rsidR="000477D0">
              <w:rPr>
                <w:rFonts w:ascii="Calibri" w:hAnsi="Calibri" w:cs="Calibri"/>
                <w:szCs w:val="22"/>
              </w:rPr>
              <w:t>year</w:t>
            </w:r>
            <w:r w:rsidRPr="000E025A">
              <w:rPr>
                <w:rFonts w:ascii="Calibri" w:hAnsi="Calibri" w:cs="Calibri"/>
                <w:szCs w:val="22"/>
              </w:rPr>
              <w:t xml:space="preserve"> of training</w:t>
            </w:r>
          </w:p>
        </w:tc>
      </w:tr>
      <w:tr w:rsidR="0026336A" w:rsidRPr="00092F5C" w14:paraId="6ED3E6EB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3C288C6D" w14:textId="77777777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Clinical assessment</w:t>
            </w:r>
          </w:p>
          <w:p w14:paraId="6659F696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455BC86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D9993BD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379D8347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30C204F9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7BB56793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524EB863" w14:textId="77777777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Clarity of medical record keeping</w:t>
            </w:r>
          </w:p>
          <w:p w14:paraId="310480E9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14D24769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3CB9FFF8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98CEB53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1E2C9D28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3F0FED48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3FF0A367" w14:textId="77777777" w:rsidR="0026336A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lastRenderedPageBreak/>
              <w:t>Justifiable use of investigations and referrals</w:t>
            </w:r>
          </w:p>
          <w:p w14:paraId="79537885" w14:textId="4BD4DB5F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12438BEB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0135044D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03D870E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7372DE3A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69474C0F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610EB354" w14:textId="77777777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 xml:space="preserve">Management of critically ill patient </w:t>
            </w:r>
          </w:p>
          <w:p w14:paraId="0C0284FF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57B4D831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7BBAAD47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7ED8D94B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60151C1D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632BC73C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6F3DDA00" w14:textId="77777777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Time management</w:t>
            </w:r>
          </w:p>
          <w:p w14:paraId="031C3468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6C131966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40A749AC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6E63DB3A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07DE3F3A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651C5608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354F80D1" w14:textId="77777777" w:rsidR="0026336A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Management of take or ward round / Team working</w:t>
            </w:r>
          </w:p>
          <w:p w14:paraId="21873405" w14:textId="0287F85C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5AE37AE2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3E61EFD3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F5D5C34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BA6FE00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39E9A35A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7F41E21D" w14:textId="4EBAE7EC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Clinical leadership</w:t>
            </w:r>
          </w:p>
          <w:p w14:paraId="1D8C6F85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F9EF3E5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0384A894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CF09CDF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5BEEFF4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6699FC8D" w14:textId="77777777" w:rsidTr="000E025A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532C7D6D" w14:textId="77777777" w:rsidR="0026336A" w:rsidRPr="00092F5C" w:rsidRDefault="0026336A" w:rsidP="00092F5C">
            <w:pPr>
              <w:rPr>
                <w:szCs w:val="22"/>
              </w:rPr>
            </w:pPr>
            <w:r w:rsidRPr="00092F5C">
              <w:rPr>
                <w:szCs w:val="22"/>
              </w:rPr>
              <w:t>Handover</w:t>
            </w:r>
          </w:p>
          <w:p w14:paraId="3161E3F3" w14:textId="77777777" w:rsidR="0026336A" w:rsidRPr="00092F5C" w:rsidRDefault="0026336A" w:rsidP="00092F5C">
            <w:pPr>
              <w:rPr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1372ABD6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20543BBC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4DC84EB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3AE3E6DD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092F5C" w14:paraId="678450A9" w14:textId="77777777" w:rsidTr="00821CD1">
        <w:trPr>
          <w:cantSplit/>
          <w:trHeight w:val="1134"/>
        </w:trPr>
        <w:tc>
          <w:tcPr>
            <w:tcW w:w="2054" w:type="pct"/>
            <w:gridSpan w:val="2"/>
            <w:shd w:val="clear" w:color="auto" w:fill="auto"/>
          </w:tcPr>
          <w:p w14:paraId="1904EE04" w14:textId="77777777" w:rsidR="0026336A" w:rsidRDefault="0026336A" w:rsidP="00092F5C">
            <w:pPr>
              <w:rPr>
                <w:b/>
                <w:bCs/>
                <w:szCs w:val="22"/>
              </w:rPr>
            </w:pPr>
            <w:r w:rsidRPr="00092F5C">
              <w:rPr>
                <w:b/>
                <w:bCs/>
                <w:szCs w:val="22"/>
              </w:rPr>
              <w:t>Overall CLINICAL JUDGEMENT</w:t>
            </w:r>
          </w:p>
          <w:p w14:paraId="3C7AA389" w14:textId="1E2F560D" w:rsidR="0026336A" w:rsidRPr="00092F5C" w:rsidRDefault="0026336A" w:rsidP="00092F5C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D9D9D9" w:themeFill="background1" w:themeFillShade="D9"/>
          </w:tcPr>
          <w:p w14:paraId="47E09157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358D6BF7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AA60F44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3FA47381" w14:textId="77777777" w:rsidR="0026336A" w:rsidRPr="00092F5C" w:rsidRDefault="0026336A" w:rsidP="000E025A">
            <w:pPr>
              <w:rPr>
                <w:b/>
                <w:bCs/>
                <w:szCs w:val="22"/>
              </w:rPr>
            </w:pPr>
          </w:p>
        </w:tc>
      </w:tr>
      <w:tr w:rsidR="0026336A" w:rsidRPr="00CB6ADA" w14:paraId="5EF91A09" w14:textId="77777777" w:rsidTr="000E025A">
        <w:trPr>
          <w:cantSplit/>
          <w:trHeight w:val="1134"/>
        </w:trPr>
        <w:tc>
          <w:tcPr>
            <w:tcW w:w="5000" w:type="pct"/>
            <w:gridSpan w:val="9"/>
            <w:shd w:val="clear" w:color="auto" w:fill="auto"/>
          </w:tcPr>
          <w:p w14:paraId="5D2B07AD" w14:textId="77777777" w:rsidR="0026336A" w:rsidRPr="00CB6ADA" w:rsidRDefault="0026336A" w:rsidP="000E025A">
            <w:pPr>
              <w:rPr>
                <w:rFonts w:ascii="Calibri" w:eastAsia="Cambria" w:hAnsi="Calibri" w:cs="Times New Roman"/>
                <w:szCs w:val="22"/>
              </w:rPr>
            </w:pPr>
            <w:r w:rsidRPr="00CB6ADA">
              <w:rPr>
                <w:rFonts w:ascii="Calibri" w:eastAsia="Cambria" w:hAnsi="Calibri" w:cs="Times New Roman"/>
                <w:szCs w:val="22"/>
              </w:rPr>
              <w:t>Trainee’s comments</w:t>
            </w:r>
          </w:p>
          <w:p w14:paraId="5CD00C04" w14:textId="77777777" w:rsidR="0026336A" w:rsidRDefault="0026336A" w:rsidP="000E025A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</w:p>
          <w:p w14:paraId="56D25AFA" w14:textId="5364CB17" w:rsidR="0026336A" w:rsidRPr="00CB6ADA" w:rsidRDefault="0026336A" w:rsidP="000E025A">
            <w:pPr>
              <w:rPr>
                <w:rFonts w:ascii="Calibri" w:eastAsia="Cambria" w:hAnsi="Calibri" w:cs="Times New Roman"/>
                <w:b/>
                <w:bCs/>
                <w:szCs w:val="22"/>
              </w:rPr>
            </w:pPr>
          </w:p>
        </w:tc>
      </w:tr>
      <w:tr w:rsidR="0026336A" w:rsidRPr="00CB6ADA" w14:paraId="5D6B102A" w14:textId="77777777" w:rsidTr="000E025A">
        <w:trPr>
          <w:cantSplit/>
          <w:trHeight w:val="1134"/>
        </w:trPr>
        <w:tc>
          <w:tcPr>
            <w:tcW w:w="2500" w:type="pct"/>
            <w:gridSpan w:val="3"/>
            <w:shd w:val="clear" w:color="auto" w:fill="auto"/>
          </w:tcPr>
          <w:p w14:paraId="1568B6B8" w14:textId="77777777" w:rsidR="0026336A" w:rsidRPr="00CB6ADA" w:rsidRDefault="0026336A" w:rsidP="000E025A">
            <w:pPr>
              <w:rPr>
                <w:rFonts w:ascii="Calibri" w:eastAsia="Cambria" w:hAnsi="Calibri" w:cs="Times New Roman"/>
                <w:szCs w:val="22"/>
              </w:rPr>
            </w:pPr>
            <w:r w:rsidRPr="00CB6ADA">
              <w:rPr>
                <w:rFonts w:ascii="Calibri" w:eastAsia="Cambria" w:hAnsi="Calibri" w:cs="Times New Roman"/>
                <w:szCs w:val="22"/>
              </w:rPr>
              <w:t>Trainee name &amp; signature:</w:t>
            </w:r>
          </w:p>
        </w:tc>
        <w:tc>
          <w:tcPr>
            <w:tcW w:w="2500" w:type="pct"/>
            <w:gridSpan w:val="6"/>
            <w:shd w:val="clear" w:color="auto" w:fill="auto"/>
          </w:tcPr>
          <w:p w14:paraId="6D367673" w14:textId="77777777" w:rsidR="0026336A" w:rsidRPr="00CB6ADA" w:rsidRDefault="0026336A" w:rsidP="000E025A">
            <w:pPr>
              <w:rPr>
                <w:rFonts w:ascii="Calibri" w:eastAsia="Cambria" w:hAnsi="Calibri" w:cs="Times New Roman"/>
                <w:szCs w:val="22"/>
              </w:rPr>
            </w:pPr>
            <w:r w:rsidRPr="00CB6ADA">
              <w:rPr>
                <w:rFonts w:ascii="Calibri" w:eastAsia="Cambria" w:hAnsi="Calibri" w:cs="Times New Roman"/>
                <w:szCs w:val="22"/>
              </w:rPr>
              <w:t>Assessor name &amp; signature</w:t>
            </w:r>
          </w:p>
        </w:tc>
      </w:tr>
    </w:tbl>
    <w:p w14:paraId="5913F56E" w14:textId="77777777" w:rsidR="00092F5C" w:rsidRPr="00092F5C" w:rsidRDefault="00092F5C" w:rsidP="00092F5C">
      <w:pPr>
        <w:rPr>
          <w:b/>
          <w:bCs/>
          <w:szCs w:val="22"/>
        </w:rPr>
      </w:pPr>
    </w:p>
    <w:p w14:paraId="1B0DD1FF" w14:textId="77777777" w:rsidR="00243D4A" w:rsidRPr="00243D4A" w:rsidRDefault="00243D4A" w:rsidP="00243D4A">
      <w:pPr>
        <w:rPr>
          <w:szCs w:val="22"/>
        </w:rPr>
      </w:pPr>
    </w:p>
    <w:p w14:paraId="4C24FF68" w14:textId="2CA683C8" w:rsidR="00243D4A" w:rsidRPr="00243D4A" w:rsidRDefault="00821CD1" w:rsidP="00243D4A">
      <w:pPr>
        <w:rPr>
          <w:szCs w:val="22"/>
        </w:rPr>
      </w:pPr>
      <w:bookmarkStart w:id="0" w:name="_Hlk61536588"/>
      <w:r>
        <w:rPr>
          <w:szCs w:val="22"/>
        </w:rPr>
        <w:t>January 2021</w:t>
      </w:r>
    </w:p>
    <w:bookmarkEnd w:id="0"/>
    <w:p w14:paraId="4267232C" w14:textId="77777777" w:rsidR="00243D4A" w:rsidRPr="00243D4A" w:rsidRDefault="00243D4A" w:rsidP="00243D4A">
      <w:pPr>
        <w:rPr>
          <w:szCs w:val="22"/>
        </w:rPr>
      </w:pPr>
    </w:p>
    <w:p w14:paraId="5E7DB655" w14:textId="73601D67" w:rsidR="004F4745" w:rsidRPr="00243D4A" w:rsidRDefault="004F4745" w:rsidP="00243D4A">
      <w:pPr>
        <w:tabs>
          <w:tab w:val="left" w:pos="2670"/>
        </w:tabs>
        <w:rPr>
          <w:szCs w:val="22"/>
        </w:rPr>
      </w:pPr>
    </w:p>
    <w:sectPr w:rsidR="004F4745" w:rsidRPr="00243D4A" w:rsidSect="0008091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D8F9" w14:textId="77777777" w:rsidR="00330D68" w:rsidRDefault="00330D68">
      <w:r>
        <w:separator/>
      </w:r>
    </w:p>
  </w:endnote>
  <w:endnote w:type="continuationSeparator" w:id="0">
    <w:p w14:paraId="0FA60B17" w14:textId="77777777" w:rsidR="00330D68" w:rsidRDefault="003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E63A" w14:textId="77777777" w:rsidR="004F4745" w:rsidRDefault="004F4745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723F90E8" wp14:editId="0BA71430">
          <wp:extent cx="6852920" cy="958028"/>
          <wp:effectExtent l="0" t="0" r="5080" b="0"/>
          <wp:docPr id="5" name="Picture 5" descr="N:\COMMUNICATIONS\Branding\Federation Rebrand (final versions)\Three logo base\2016\Three_logo_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2016\Three_logo_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95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E353" w14:textId="77777777" w:rsidR="004F4745" w:rsidRDefault="004F4745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64C78C" wp14:editId="60480AA4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35128" w14:textId="77777777" w:rsidR="004F4745" w:rsidRPr="00ED2E74" w:rsidRDefault="004F4745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  <w:r w:rsidRPr="00ED2E74">
                            <w:rPr>
                              <w:rFonts w:ascii="Calibri" w:eastAsiaTheme="majorEastAsia" w:hAnsi="Calibri" w:cstheme="majorBid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 w:eastAsiaTheme="majorEastAsia" w:hAnsi="Calibri" w:cstheme="majorBidi"/>
                            </w:rPr>
                            <w:t xml:space="preserve"> </w: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begin"/>
                          </w:r>
                          <w:r w:rsidRPr="00ED2E74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separate"/>
                          </w:r>
                          <w:r w:rsidR="00F07084" w:rsidRPr="00F0708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t>1</w:t>
                          </w:r>
                          <w:r w:rsidRPr="00ED2E7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4C78C"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" o:allowincell="f" filled="f" stroked="f">
              <v:textbox style="layout-flow:vertical;mso-layout-flow-alt:bottom-to-top">
                <w:txbxContent>
                  <w:p w14:paraId="7DD35128" w14:textId="77777777" w:rsidR="004F4745" w:rsidRPr="00ED2E74" w:rsidRDefault="004F4745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  <w:r w:rsidRPr="00ED2E74">
                      <w:rPr>
                        <w:rFonts w:ascii="Calibri" w:eastAsiaTheme="majorEastAsia" w:hAnsi="Calibri" w:cstheme="majorBidi"/>
                        <w:b/>
                      </w:rPr>
                      <w:t>Page</w:t>
                    </w:r>
                    <w:r>
                      <w:rPr>
                        <w:rFonts w:ascii="Calibri" w:eastAsiaTheme="majorEastAsia" w:hAnsi="Calibri" w:cstheme="majorBidi"/>
                      </w:rPr>
                      <w:t xml:space="preserve"> </w: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begin"/>
                    </w:r>
                    <w:r w:rsidRPr="00ED2E74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separate"/>
                    </w:r>
                    <w:r w:rsidR="00F07084" w:rsidRPr="00F0708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t>1</w:t>
                    </w:r>
                    <w:r w:rsidRPr="00ED2E7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46CD2C0A" wp14:editId="481F5C24">
          <wp:extent cx="6852285" cy="95694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89C5" w14:textId="77777777" w:rsidR="00330D68" w:rsidRDefault="00330D68">
      <w:r>
        <w:separator/>
      </w:r>
    </w:p>
  </w:footnote>
  <w:footnote w:type="continuationSeparator" w:id="0">
    <w:p w14:paraId="65DCDC1A" w14:textId="77777777" w:rsidR="00330D68" w:rsidRDefault="003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B70A" w14:textId="77777777" w:rsidR="004F4745" w:rsidRDefault="004F4745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B399" w14:textId="77777777" w:rsidR="004F4745" w:rsidRDefault="004F474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23BE2B50" wp14:editId="5190668A">
          <wp:extent cx="2944466" cy="1106461"/>
          <wp:effectExtent l="0" t="0" r="0" b="0"/>
          <wp:docPr id="6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BAAB1A" wp14:editId="3342DEA9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EA91E" w14:textId="77777777" w:rsidR="004F4745" w:rsidRPr="00114F76" w:rsidRDefault="004F474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AAB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" fillcolor="#473367" stroked="f">
              <v:textbox inset=",7.2pt,,7.2pt">
                <w:txbxContent>
                  <w:p w14:paraId="761EA91E" w14:textId="77777777" w:rsidR="004F4745" w:rsidRPr="00114F76" w:rsidRDefault="004F474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EEB"/>
    <w:multiLevelType w:val="hybridMultilevel"/>
    <w:tmpl w:val="2B1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DFA"/>
    <w:multiLevelType w:val="hybridMultilevel"/>
    <w:tmpl w:val="FBA474C2"/>
    <w:lvl w:ilvl="0" w:tplc="B2B8B17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00D44"/>
    <w:multiLevelType w:val="hybridMultilevel"/>
    <w:tmpl w:val="38243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0528F"/>
    <w:multiLevelType w:val="hybridMultilevel"/>
    <w:tmpl w:val="D840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BF2"/>
    <w:multiLevelType w:val="hybridMultilevel"/>
    <w:tmpl w:val="73E82166"/>
    <w:lvl w:ilvl="0" w:tplc="B2B8B17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F5C"/>
    <w:rsid w:val="00031365"/>
    <w:rsid w:val="000477D0"/>
    <w:rsid w:val="00080918"/>
    <w:rsid w:val="00092F5C"/>
    <w:rsid w:val="000E025A"/>
    <w:rsid w:val="001077BF"/>
    <w:rsid w:val="00114F76"/>
    <w:rsid w:val="001D16B6"/>
    <w:rsid w:val="001F1A50"/>
    <w:rsid w:val="00243D4A"/>
    <w:rsid w:val="0026336A"/>
    <w:rsid w:val="00330D68"/>
    <w:rsid w:val="00335E48"/>
    <w:rsid w:val="00357CB4"/>
    <w:rsid w:val="00470441"/>
    <w:rsid w:val="004F4745"/>
    <w:rsid w:val="006C52D9"/>
    <w:rsid w:val="006E26C5"/>
    <w:rsid w:val="007A75D8"/>
    <w:rsid w:val="007E7198"/>
    <w:rsid w:val="00821CD1"/>
    <w:rsid w:val="008B5DFA"/>
    <w:rsid w:val="008E348D"/>
    <w:rsid w:val="00A14FC0"/>
    <w:rsid w:val="00A437C4"/>
    <w:rsid w:val="00A46124"/>
    <w:rsid w:val="00A510FB"/>
    <w:rsid w:val="00A61144"/>
    <w:rsid w:val="00AD18D1"/>
    <w:rsid w:val="00AD29A2"/>
    <w:rsid w:val="00B775F8"/>
    <w:rsid w:val="00BA0ADF"/>
    <w:rsid w:val="00BA6170"/>
    <w:rsid w:val="00BC6293"/>
    <w:rsid w:val="00C66905"/>
    <w:rsid w:val="00CA5725"/>
    <w:rsid w:val="00DB22AA"/>
    <w:rsid w:val="00ED2E74"/>
    <w:rsid w:val="00F07084"/>
    <w:rsid w:val="00F32A42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  <w14:docId w14:val="0FA42829"/>
  <w15:docId w15:val="{8D341487-7B17-4E23-B01A-0E09173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F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6A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6A"/>
    <w:rPr>
      <w:rFonts w:asciiTheme="majorHAnsi" w:hAnsiTheme="majorHAns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E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Fleet</dc:creator>
  <cp:lastModifiedBy>Zoe Fleet</cp:lastModifiedBy>
  <cp:revision>5</cp:revision>
  <cp:lastPrinted>2014-03-25T14:51:00Z</cp:lastPrinted>
  <dcterms:created xsi:type="dcterms:W3CDTF">2021-01-26T10:52:00Z</dcterms:created>
  <dcterms:modified xsi:type="dcterms:W3CDTF">2021-01-29T12:10:00Z</dcterms:modified>
</cp:coreProperties>
</file>